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57AA1" w14:textId="79F2B4B8" w:rsidR="00BC5CBD" w:rsidRDefault="00BC5CBD" w:rsidP="00BC5CBD">
      <w:pPr>
        <w:shd w:val="clear" w:color="auto" w:fill="92D050"/>
        <w:spacing w:after="120"/>
        <w:jc w:val="center"/>
        <w:rPr>
          <w:rFonts w:cs="Arial"/>
          <w:b/>
          <w:bCs/>
          <w:sz w:val="24"/>
        </w:rPr>
      </w:pPr>
      <w:r>
        <w:rPr>
          <w:rFonts w:cs="Arial"/>
          <w:b/>
          <w:bCs/>
          <w:sz w:val="24"/>
        </w:rPr>
        <w:t>ESMS – Annex 3</w:t>
      </w:r>
    </w:p>
    <w:p w14:paraId="3574995D" w14:textId="0DCC6E70" w:rsidR="00252F68" w:rsidRPr="004424C5" w:rsidRDefault="00252F68" w:rsidP="00BC5CBD">
      <w:pPr>
        <w:shd w:val="clear" w:color="auto" w:fill="92D050"/>
        <w:spacing w:after="120"/>
        <w:jc w:val="center"/>
        <w:rPr>
          <w:rFonts w:cs="Arial"/>
          <w:b/>
          <w:sz w:val="24"/>
        </w:rPr>
      </w:pPr>
      <w:r>
        <w:rPr>
          <w:rFonts w:cs="Arial"/>
          <w:b/>
          <w:bCs/>
          <w:sz w:val="24"/>
        </w:rPr>
        <w:t>Exclusion List</w:t>
      </w:r>
    </w:p>
    <w:p w14:paraId="552C48E5" w14:textId="096BA5E1" w:rsidR="00CB5722" w:rsidRPr="00CB5722" w:rsidRDefault="00252F68" w:rsidP="00CB5722">
      <w:pPr>
        <w:shd w:val="clear" w:color="auto" w:fill="92D050"/>
        <w:jc w:val="center"/>
        <w:rPr>
          <w:rFonts w:cs="Arial"/>
          <w:b/>
          <w:sz w:val="24"/>
        </w:rPr>
      </w:pPr>
      <w:r w:rsidRPr="004424C5">
        <w:rPr>
          <w:rFonts w:cs="Arial"/>
          <w:b/>
          <w:sz w:val="24"/>
        </w:rPr>
        <w:t>Alliance for a Green Revolution in Africa (AGRA)</w:t>
      </w:r>
    </w:p>
    <w:p w14:paraId="7525BB27" w14:textId="17845B55" w:rsidR="00A700B6" w:rsidRPr="00A700B6" w:rsidRDefault="00E94BA7" w:rsidP="00A76A82">
      <w:pPr>
        <w:spacing w:before="120"/>
        <w:jc w:val="center"/>
        <w:rPr>
          <w:i/>
          <w:sz w:val="28"/>
        </w:rPr>
      </w:pPr>
      <w:r w:rsidRPr="00A700B6">
        <w:rPr>
          <w:i/>
          <w:sz w:val="28"/>
        </w:rPr>
        <w:t>AGRA</w:t>
      </w:r>
      <w:r w:rsidR="004474B1" w:rsidRPr="00A700B6">
        <w:rPr>
          <w:i/>
          <w:sz w:val="28"/>
        </w:rPr>
        <w:t xml:space="preserve"> </w:t>
      </w:r>
      <w:r w:rsidR="00E72246" w:rsidRPr="00A700B6">
        <w:rPr>
          <w:i/>
          <w:sz w:val="28"/>
        </w:rPr>
        <w:t>Exclusion List</w:t>
      </w:r>
    </w:p>
    <w:p w14:paraId="45230435" w14:textId="6C836B1F" w:rsidR="00B6094C" w:rsidRPr="00A700B6" w:rsidRDefault="00CB5B28" w:rsidP="00A700B6">
      <w:pPr>
        <w:jc w:val="center"/>
        <w:rPr>
          <w:i/>
          <w:lang w:val="en-GB"/>
        </w:rPr>
      </w:pPr>
      <w:r w:rsidRPr="00A700B6">
        <w:rPr>
          <w:i/>
          <w:lang w:val="en-GB"/>
        </w:rPr>
        <w:t>The following is a</w:t>
      </w:r>
      <w:r w:rsidR="00E70F64" w:rsidRPr="00A700B6">
        <w:rPr>
          <w:i/>
          <w:lang w:val="en-GB"/>
        </w:rPr>
        <w:t>n</w:t>
      </w:r>
      <w:r w:rsidRPr="00A700B6">
        <w:rPr>
          <w:i/>
          <w:lang w:val="en-GB"/>
        </w:rPr>
        <w:t xml:space="preserve"> </w:t>
      </w:r>
      <w:r w:rsidR="00E94BA7" w:rsidRPr="00A700B6">
        <w:rPr>
          <w:i/>
          <w:lang w:val="en-GB"/>
        </w:rPr>
        <w:t>E</w:t>
      </w:r>
      <w:r w:rsidRPr="00A700B6">
        <w:rPr>
          <w:i/>
          <w:lang w:val="en-GB"/>
        </w:rPr>
        <w:t xml:space="preserve">xclusion </w:t>
      </w:r>
      <w:r w:rsidR="00E94BA7" w:rsidRPr="00A700B6">
        <w:rPr>
          <w:i/>
          <w:lang w:val="en-GB"/>
        </w:rPr>
        <w:t>L</w:t>
      </w:r>
      <w:r w:rsidRPr="00A700B6">
        <w:rPr>
          <w:i/>
          <w:lang w:val="en-GB"/>
        </w:rPr>
        <w:t xml:space="preserve">ist for </w:t>
      </w:r>
      <w:r w:rsidR="00D23A1F" w:rsidRPr="00A700B6">
        <w:rPr>
          <w:i/>
          <w:lang w:val="en-GB"/>
        </w:rPr>
        <w:t xml:space="preserve">AGRA </w:t>
      </w:r>
      <w:r w:rsidR="008E6B04">
        <w:rPr>
          <w:i/>
          <w:lang w:val="en-GB"/>
        </w:rPr>
        <w:t xml:space="preserve">to </w:t>
      </w:r>
      <w:proofErr w:type="gramStart"/>
      <w:r w:rsidR="008E6B04">
        <w:rPr>
          <w:i/>
          <w:lang w:val="en-GB"/>
        </w:rPr>
        <w:t>be applied</w:t>
      </w:r>
      <w:proofErr w:type="gramEnd"/>
      <w:r w:rsidR="008E6B04">
        <w:rPr>
          <w:i/>
          <w:lang w:val="en-GB"/>
        </w:rPr>
        <w:t xml:space="preserve"> to all </w:t>
      </w:r>
      <w:r w:rsidR="00E94BA7" w:rsidRPr="00A700B6">
        <w:rPr>
          <w:i/>
          <w:lang w:val="en-GB"/>
        </w:rPr>
        <w:t>intervention</w:t>
      </w:r>
    </w:p>
    <w:p w14:paraId="27F8AACD" w14:textId="77777777" w:rsidR="000304AE" w:rsidRDefault="000304AE" w:rsidP="00057249">
      <w:pPr>
        <w:rPr>
          <w:b/>
          <w:sz w:val="24"/>
          <w:lang w:val="en-GB"/>
        </w:rPr>
      </w:pPr>
      <w:r>
        <w:rPr>
          <w:b/>
          <w:sz w:val="24"/>
          <w:lang w:val="en-GB"/>
        </w:rPr>
        <w:t>In general:</w:t>
      </w:r>
    </w:p>
    <w:p w14:paraId="1C516334" w14:textId="19AC9C9B" w:rsidR="00120E76" w:rsidRPr="00E77E0C" w:rsidRDefault="00120E76" w:rsidP="00E77E0C">
      <w:pPr>
        <w:rPr>
          <w:i/>
          <w:sz w:val="24"/>
          <w:lang w:val="en-GB"/>
        </w:rPr>
      </w:pPr>
      <w:r w:rsidRPr="000304AE">
        <w:rPr>
          <w:i/>
          <w:sz w:val="24"/>
          <w:lang w:val="en-GB"/>
        </w:rPr>
        <w:t xml:space="preserve">AGRA </w:t>
      </w:r>
      <w:r w:rsidR="00742341" w:rsidRPr="000304AE">
        <w:rPr>
          <w:i/>
          <w:sz w:val="24"/>
          <w:lang w:val="en-GB"/>
        </w:rPr>
        <w:t>will</w:t>
      </w:r>
      <w:r w:rsidRPr="000304AE">
        <w:rPr>
          <w:i/>
          <w:sz w:val="24"/>
          <w:lang w:val="en-GB"/>
        </w:rPr>
        <w:t xml:space="preserve"> not engage with activities </w:t>
      </w:r>
      <w:r w:rsidR="000304AE">
        <w:rPr>
          <w:i/>
          <w:sz w:val="24"/>
          <w:lang w:val="en-GB"/>
        </w:rPr>
        <w:t xml:space="preserve">involved </w:t>
      </w:r>
      <w:r w:rsidR="00932ADE">
        <w:rPr>
          <w:i/>
          <w:sz w:val="24"/>
          <w:lang w:val="en-GB"/>
        </w:rPr>
        <w:t xml:space="preserve">in </w:t>
      </w:r>
      <w:r w:rsidR="000304AE">
        <w:rPr>
          <w:i/>
          <w:sz w:val="24"/>
          <w:lang w:val="en-GB"/>
        </w:rPr>
        <w:t>the p</w:t>
      </w:r>
      <w:r w:rsidRPr="000304AE">
        <w:rPr>
          <w:i/>
          <w:sz w:val="24"/>
          <w:lang w:val="en-GB"/>
        </w:rPr>
        <w:t xml:space="preserve">roduction or trade in any product or activity deemed illegal under host country laws or regulations or international conventions and agreements, or subject to international bans, </w:t>
      </w:r>
      <w:r w:rsidR="0069389D" w:rsidRPr="000304AE">
        <w:rPr>
          <w:i/>
          <w:sz w:val="24"/>
          <w:lang w:val="en-GB"/>
        </w:rPr>
        <w:t>such as the production or trade of ammunition, weaponry, controversial weapons, alcoholic beverages, tobacco, radioactive or hazardous materials and chemicals</w:t>
      </w:r>
      <w:r w:rsidR="0082453D" w:rsidRPr="000304AE">
        <w:rPr>
          <w:i/>
          <w:sz w:val="24"/>
          <w:lang w:val="en-GB"/>
        </w:rPr>
        <w:t>.</w:t>
      </w:r>
      <w:r w:rsidR="00E77E0C">
        <w:rPr>
          <w:i/>
          <w:sz w:val="24"/>
          <w:lang w:val="en-GB"/>
        </w:rPr>
        <w:t xml:space="preserve"> In addition, AGRA will only engage in activities within the </w:t>
      </w:r>
      <w:r w:rsidR="00932ADE">
        <w:rPr>
          <w:i/>
          <w:sz w:val="24"/>
          <w:lang w:val="en-GB"/>
        </w:rPr>
        <w:t>internationally accepted r</w:t>
      </w:r>
      <w:r w:rsidR="00E77E0C" w:rsidRPr="00E77E0C">
        <w:rPr>
          <w:i/>
          <w:sz w:val="24"/>
          <w:lang w:val="en-GB"/>
        </w:rPr>
        <w:t xml:space="preserve">eference framework for development partnerships in the </w:t>
      </w:r>
      <w:proofErr w:type="spellStart"/>
      <w:r w:rsidR="00E77E0C" w:rsidRPr="00E77E0C">
        <w:rPr>
          <w:i/>
          <w:sz w:val="24"/>
          <w:lang w:val="en-GB"/>
        </w:rPr>
        <w:t>agri</w:t>
      </w:r>
      <w:proofErr w:type="spellEnd"/>
      <w:r w:rsidR="00E77E0C" w:rsidRPr="00E77E0C">
        <w:rPr>
          <w:i/>
          <w:sz w:val="24"/>
          <w:lang w:val="en-GB"/>
        </w:rPr>
        <w:t>-food sector</w:t>
      </w:r>
      <w:r w:rsidR="00E77E0C">
        <w:rPr>
          <w:i/>
          <w:sz w:val="24"/>
          <w:lang w:val="en-GB"/>
        </w:rPr>
        <w:t xml:space="preserve"> (</w:t>
      </w:r>
      <w:r w:rsidR="00932ADE">
        <w:rPr>
          <w:i/>
          <w:sz w:val="24"/>
          <w:lang w:val="en-GB"/>
        </w:rPr>
        <w:t xml:space="preserve">one such framework is that of BMZ, </w:t>
      </w:r>
      <w:r w:rsidR="00E77E0C">
        <w:rPr>
          <w:i/>
          <w:sz w:val="24"/>
          <w:lang w:val="en-GB"/>
        </w:rPr>
        <w:t xml:space="preserve">2016, </w:t>
      </w:r>
      <w:r w:rsidR="00BF48B1">
        <w:rPr>
          <w:i/>
          <w:sz w:val="24"/>
          <w:lang w:val="en-GB"/>
        </w:rPr>
        <w:t xml:space="preserve">and as updated, which </w:t>
      </w:r>
      <w:proofErr w:type="gramStart"/>
      <w:r w:rsidR="00BF48B1">
        <w:rPr>
          <w:i/>
          <w:sz w:val="24"/>
          <w:lang w:val="en-GB"/>
        </w:rPr>
        <w:t>will be observed</w:t>
      </w:r>
      <w:proofErr w:type="gramEnd"/>
      <w:r w:rsidR="00BF48B1">
        <w:rPr>
          <w:i/>
          <w:sz w:val="24"/>
          <w:lang w:val="en-GB"/>
        </w:rPr>
        <w:t xml:space="preserve"> for Ghana and Burkina Faso</w:t>
      </w:r>
      <w:r w:rsidR="00E77E0C">
        <w:rPr>
          <w:i/>
          <w:sz w:val="24"/>
          <w:lang w:val="en-GB"/>
        </w:rPr>
        <w:t>)</w:t>
      </w:r>
    </w:p>
    <w:p w14:paraId="3A24AAA0" w14:textId="77777777" w:rsidR="000304AE" w:rsidRDefault="000304AE" w:rsidP="0069389D">
      <w:pPr>
        <w:rPr>
          <w:b/>
          <w:sz w:val="24"/>
          <w:lang w:val="en-GB"/>
        </w:rPr>
      </w:pPr>
      <w:r>
        <w:rPr>
          <w:b/>
          <w:sz w:val="24"/>
          <w:lang w:val="en-GB"/>
        </w:rPr>
        <w:t>In particular:</w:t>
      </w:r>
    </w:p>
    <w:p w14:paraId="082C5FF2" w14:textId="07E6BE71" w:rsidR="0069389D" w:rsidRDefault="00120E76" w:rsidP="0069389D">
      <w:pPr>
        <w:rPr>
          <w:i/>
          <w:sz w:val="24"/>
          <w:lang w:val="en-GB"/>
        </w:rPr>
      </w:pPr>
      <w:r w:rsidRPr="00CB5722">
        <w:rPr>
          <w:i/>
          <w:sz w:val="24"/>
          <w:lang w:val="en-GB"/>
        </w:rPr>
        <w:t>AGRA</w:t>
      </w:r>
      <w:r w:rsidR="00742341">
        <w:rPr>
          <w:i/>
          <w:sz w:val="24"/>
          <w:lang w:val="en-GB"/>
        </w:rPr>
        <w:t xml:space="preserve"> will </w:t>
      </w:r>
      <w:r w:rsidR="00742341" w:rsidRPr="00E95BF4">
        <w:rPr>
          <w:b/>
          <w:i/>
          <w:sz w:val="24"/>
          <w:u w:val="single"/>
          <w:lang w:val="en-GB"/>
        </w:rPr>
        <w:t>not</w:t>
      </w:r>
      <w:r w:rsidR="00742341">
        <w:rPr>
          <w:i/>
          <w:sz w:val="24"/>
          <w:lang w:val="en-GB"/>
        </w:rPr>
        <w:t xml:space="preserve"> support </w:t>
      </w:r>
      <w:r w:rsidRPr="00CB5722">
        <w:rPr>
          <w:i/>
          <w:sz w:val="24"/>
          <w:lang w:val="en-GB"/>
        </w:rPr>
        <w:t>interventions linked to the following objectives:</w:t>
      </w:r>
    </w:p>
    <w:p w14:paraId="4DDAF79F" w14:textId="4F7A9523" w:rsidR="0069389D" w:rsidRPr="0069389D" w:rsidRDefault="0069389D" w:rsidP="0069389D">
      <w:pPr>
        <w:rPr>
          <w:b/>
        </w:rPr>
      </w:pPr>
      <w:r w:rsidRPr="0069389D">
        <w:rPr>
          <w:b/>
        </w:rPr>
        <w:t>Environment</w:t>
      </w:r>
    </w:p>
    <w:p w14:paraId="0BC6E1DA" w14:textId="1227CC2D" w:rsidR="00057249" w:rsidRDefault="00057249" w:rsidP="00057249">
      <w:pPr>
        <w:pStyle w:val="Bullet1"/>
        <w:tabs>
          <w:tab w:val="clear" w:pos="360"/>
          <w:tab w:val="num" w:pos="11"/>
        </w:tabs>
      </w:pPr>
      <w:r w:rsidRPr="009C23E9">
        <w:t>Drift net fishing in the marine environment using nets in excess of 2.5 km in length</w:t>
      </w:r>
      <w:bookmarkStart w:id="0" w:name="_Ref522876393"/>
      <w:r w:rsidR="0082453D">
        <w:rPr>
          <w:rStyle w:val="FootnoteReference"/>
        </w:rPr>
        <w:footnoteReference w:id="1"/>
      </w:r>
      <w:bookmarkEnd w:id="0"/>
    </w:p>
    <w:p w14:paraId="67D31D18" w14:textId="164D2B61" w:rsidR="00057249" w:rsidRDefault="00057249" w:rsidP="00057249">
      <w:pPr>
        <w:pStyle w:val="Bullet1"/>
      </w:pPr>
      <w:r w:rsidRPr="009C23E9">
        <w:t>Commercial logging operations for use in primary tropical moist forest</w:t>
      </w:r>
      <w:r w:rsidR="0082453D">
        <w:fldChar w:fldCharType="begin"/>
      </w:r>
      <w:r w:rsidR="0082453D">
        <w:instrText xml:space="preserve"> NOTEREF _Ref522876393 \f \h </w:instrText>
      </w:r>
      <w:r w:rsidR="0082453D">
        <w:fldChar w:fldCharType="separate"/>
      </w:r>
      <w:r w:rsidR="0082453D" w:rsidRPr="0082453D">
        <w:rPr>
          <w:rStyle w:val="FootnoteReference"/>
        </w:rPr>
        <w:t>1</w:t>
      </w:r>
      <w:r w:rsidR="0082453D">
        <w:fldChar w:fldCharType="end"/>
      </w:r>
    </w:p>
    <w:p w14:paraId="291004B3" w14:textId="28458B47" w:rsidR="00057249" w:rsidRDefault="00057249" w:rsidP="00057249">
      <w:pPr>
        <w:pStyle w:val="Bullet1"/>
      </w:pPr>
      <w:r w:rsidRPr="009C23E9">
        <w:t>Production or trade in wood or other forestry products other than from sustainably managed forests</w:t>
      </w:r>
      <w:r w:rsidR="0082453D">
        <w:fldChar w:fldCharType="begin"/>
      </w:r>
      <w:r w:rsidR="0082453D">
        <w:instrText xml:space="preserve"> NOTEREF _Ref522876393 \f \h </w:instrText>
      </w:r>
      <w:r w:rsidR="0082453D">
        <w:fldChar w:fldCharType="separate"/>
      </w:r>
      <w:r w:rsidR="0082453D" w:rsidRPr="0082453D">
        <w:rPr>
          <w:rStyle w:val="FootnoteReference"/>
        </w:rPr>
        <w:t>1</w:t>
      </w:r>
      <w:r w:rsidR="0082453D">
        <w:fldChar w:fldCharType="end"/>
      </w:r>
    </w:p>
    <w:p w14:paraId="2DD3D692" w14:textId="32DB59EF" w:rsidR="000304AE" w:rsidRDefault="000304AE" w:rsidP="000304AE">
      <w:pPr>
        <w:pStyle w:val="Bullet1"/>
      </w:pPr>
      <w:r>
        <w:t>Commercial animal testing, non-healthcare related</w:t>
      </w:r>
      <w:bookmarkStart w:id="1" w:name="_Ref522876725"/>
      <w:r>
        <w:rPr>
          <w:rStyle w:val="FootnoteReference"/>
        </w:rPr>
        <w:footnoteReference w:id="2"/>
      </w:r>
      <w:bookmarkEnd w:id="1"/>
      <w:r>
        <w:t xml:space="preserve"> </w:t>
      </w:r>
    </w:p>
    <w:p w14:paraId="3D401622" w14:textId="2FA147FE" w:rsidR="00057249" w:rsidRDefault="00057249" w:rsidP="00057249">
      <w:pPr>
        <w:pStyle w:val="Bullet1"/>
      </w:pPr>
      <w:r>
        <w:t>Logging of or trade in illegally harvested or uncertified timber</w:t>
      </w:r>
      <w:r>
        <w:rPr>
          <w:rStyle w:val="FootnoteReference"/>
        </w:rPr>
        <w:footnoteReference w:id="3"/>
      </w:r>
      <w:r>
        <w:t xml:space="preserve"> (FSC, PEFC or Equivalent) as well logging in uncertified primary</w:t>
      </w:r>
      <w:r>
        <w:rPr>
          <w:rStyle w:val="FootnoteReference"/>
        </w:rPr>
        <w:footnoteReference w:id="4"/>
      </w:r>
      <w:r>
        <w:t xml:space="preserve"> forest</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r>
        <w:t xml:space="preserve"> </w:t>
      </w:r>
    </w:p>
    <w:p w14:paraId="5E9DDA76" w14:textId="1BFEFDB6" w:rsidR="00057249" w:rsidRDefault="00057249" w:rsidP="00057249">
      <w:pPr>
        <w:pStyle w:val="Bullet1"/>
      </w:pPr>
      <w:r>
        <w:t>Activities resulting in significant conversion or degradation of a cr</w:t>
      </w:r>
      <w:bookmarkStart w:id="2" w:name="_GoBack"/>
      <w:bookmarkEnd w:id="2"/>
      <w:r>
        <w:t>itical habitat (UNESCO, RAMSAR, IUCN</w:t>
      </w:r>
      <w:r>
        <w:rPr>
          <w:rStyle w:val="FootnoteReference"/>
        </w:rPr>
        <w:footnoteReference w:id="5"/>
      </w:r>
      <w:r w:rsidR="000304AE">
        <w:t>)</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p>
    <w:p w14:paraId="77F55C0D" w14:textId="7449C3BE" w:rsidR="00057249" w:rsidRDefault="00057249" w:rsidP="00057249">
      <w:pPr>
        <w:pStyle w:val="Bullet1"/>
      </w:pPr>
      <w:r>
        <w:t>Commercial Events with animals where the Five Animal Freedoms</w:t>
      </w:r>
      <w:r>
        <w:rPr>
          <w:rStyle w:val="FootnoteReference"/>
        </w:rPr>
        <w:footnoteReference w:id="6"/>
      </w:r>
      <w:r>
        <w:t xml:space="preserve"> are not respected</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r>
        <w:t xml:space="preserve"> </w:t>
      </w:r>
    </w:p>
    <w:p w14:paraId="1AD959C2" w14:textId="2F330851" w:rsidR="00057249" w:rsidRDefault="00057249" w:rsidP="00057249">
      <w:pPr>
        <w:pStyle w:val="Bullet1"/>
      </w:pPr>
      <w:r>
        <w:t>Production of or trade in pharmaceuticals, pesticide/herbicides, chemicals and ozone depleting substances subject to international phase outs or bans</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r>
        <w:t xml:space="preserve"> </w:t>
      </w:r>
    </w:p>
    <w:p w14:paraId="1F5524D8" w14:textId="4C747D83" w:rsidR="00057249" w:rsidRDefault="00057249" w:rsidP="00057249">
      <w:pPr>
        <w:pStyle w:val="Bullet1"/>
      </w:pPr>
      <w:r>
        <w:lastRenderedPageBreak/>
        <w:t>Producing, processing and trading of palm oil by companies that are not member, or in the process</w:t>
      </w:r>
      <w:r>
        <w:rPr>
          <w:rStyle w:val="FootnoteReference"/>
        </w:rPr>
        <w:footnoteReference w:id="7"/>
      </w:r>
      <w:r>
        <w:t xml:space="preserve"> of becoming member, of the Round Table for Sustainable Palm Oil (RSPO)</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r>
        <w:t xml:space="preserve"> </w:t>
      </w:r>
    </w:p>
    <w:p w14:paraId="2073433E" w14:textId="579B7A97" w:rsidR="00057249" w:rsidRDefault="00057249" w:rsidP="00057249">
      <w:pPr>
        <w:pStyle w:val="Bullet1"/>
      </w:pPr>
      <w:r>
        <w:t>Burning of natural occurring ecosystems, such as forests and savanna, for the purpose of land clearing for the establishment of large scale agricultural plantations</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p>
    <w:p w14:paraId="4A5ABD21" w14:textId="1997F5C6" w:rsidR="00C26999" w:rsidRDefault="00C26999" w:rsidP="00C26999">
      <w:pPr>
        <w:pStyle w:val="Bullet1"/>
      </w:pPr>
      <w:r w:rsidRPr="0081218E">
        <w:t>Use of Endangered Species or Great Apes for testing and experimental purposes</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p>
    <w:p w14:paraId="1616889D" w14:textId="331D1B50" w:rsidR="00057249" w:rsidRPr="00C26999" w:rsidRDefault="00C26999" w:rsidP="00057249">
      <w:pPr>
        <w:pStyle w:val="Bullet1"/>
      </w:pPr>
      <w:r w:rsidRPr="0081218E">
        <w:t>Health care related Animal testing non-compliant with EU, US or equivalent legislation</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p>
    <w:p w14:paraId="7983A402" w14:textId="77777777" w:rsidR="00057249" w:rsidRPr="00A700B6" w:rsidRDefault="00057249" w:rsidP="00C26999">
      <w:pPr>
        <w:spacing w:before="240"/>
        <w:rPr>
          <w:b/>
          <w:sz w:val="24"/>
          <w:lang w:val="en-GB"/>
        </w:rPr>
      </w:pPr>
      <w:r w:rsidRPr="00A700B6">
        <w:rPr>
          <w:b/>
          <w:sz w:val="24"/>
          <w:lang w:val="en-GB"/>
        </w:rPr>
        <w:t>Social</w:t>
      </w:r>
    </w:p>
    <w:p w14:paraId="4A37CAAD" w14:textId="0DC96463" w:rsidR="00057249" w:rsidRPr="00057249" w:rsidRDefault="00057249" w:rsidP="00057249">
      <w:pPr>
        <w:pStyle w:val="Bullet1"/>
        <w:tabs>
          <w:tab w:val="clear" w:pos="360"/>
          <w:tab w:val="num" w:pos="11"/>
        </w:tabs>
      </w:pPr>
      <w:r w:rsidRPr="009C23E9">
        <w:t>Production or activities involving harmful or exploitative forms of for</w:t>
      </w:r>
      <w:r>
        <w:t>ced labor</w:t>
      </w:r>
      <w:r>
        <w:rPr>
          <w:rStyle w:val="FootnoteReference"/>
          <w:lang w:val="en-GB"/>
        </w:rPr>
        <w:footnoteReference w:id="8"/>
      </w:r>
      <w:r w:rsidR="000304AE">
        <w:t>/harmful child labor</w:t>
      </w:r>
      <w:r w:rsidR="000304AE">
        <w:fldChar w:fldCharType="begin"/>
      </w:r>
      <w:r w:rsidR="000304AE">
        <w:instrText xml:space="preserve"> NOTEREF _Ref522876393 \f \h </w:instrText>
      </w:r>
      <w:r w:rsidR="000304AE">
        <w:fldChar w:fldCharType="separate"/>
      </w:r>
      <w:r w:rsidR="000304AE" w:rsidRPr="000304AE">
        <w:rPr>
          <w:rStyle w:val="FootnoteReference"/>
        </w:rPr>
        <w:t>1</w:t>
      </w:r>
      <w:r w:rsidR="000304AE">
        <w:fldChar w:fldCharType="end"/>
      </w:r>
      <w:r w:rsidR="000304AE">
        <w:rPr>
          <w:vertAlign w:val="superscript"/>
        </w:rPr>
        <w:t>,</w:t>
      </w:r>
      <w:r>
        <w:rPr>
          <w:rStyle w:val="FootnoteReference"/>
          <w:lang w:val="en-GB"/>
        </w:rPr>
        <w:footnoteReference w:id="9"/>
      </w:r>
    </w:p>
    <w:p w14:paraId="64AAC3F4" w14:textId="531199F2" w:rsidR="00D82222" w:rsidRPr="00057249" w:rsidRDefault="00D82222" w:rsidP="00D82222">
      <w:pPr>
        <w:pStyle w:val="Bullet1"/>
        <w:rPr>
          <w:sz w:val="24"/>
        </w:rPr>
      </w:pPr>
      <w:r w:rsidRPr="00057249">
        <w:t>Activities causing human rights violations, e.g. child labour, the exploitation of children, bonded and/or forced (child) labour</w:t>
      </w:r>
      <w:r w:rsidR="00976A53">
        <w:t>, gender based violence and abuse,</w:t>
      </w:r>
      <w:r w:rsidRPr="00057249">
        <w:t xml:space="preserve"> and human trafficking</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p>
    <w:p w14:paraId="062C57D0" w14:textId="7D0748D5" w:rsidR="00D82222" w:rsidRDefault="00D82222" w:rsidP="00D82222">
      <w:pPr>
        <w:pStyle w:val="Bullet1"/>
      </w:pPr>
      <w:r>
        <w:t>Activities resulting in the infringement of the rights of indigenous and/or vulnerable groups without their Free Prior and Informed Consent (FPIC)</w:t>
      </w:r>
      <w:r w:rsidR="000304AE">
        <w:fldChar w:fldCharType="begin"/>
      </w:r>
      <w:r w:rsidR="000304AE">
        <w:instrText xml:space="preserve"> NOTEREF _Ref522876725 \f \h </w:instrText>
      </w:r>
      <w:r w:rsidR="000304AE">
        <w:fldChar w:fldCharType="separate"/>
      </w:r>
      <w:r w:rsidR="000304AE" w:rsidRPr="000304AE">
        <w:rPr>
          <w:rStyle w:val="FootnoteReference"/>
        </w:rPr>
        <w:t>2</w:t>
      </w:r>
      <w:r w:rsidR="000304AE">
        <w:fldChar w:fldCharType="end"/>
      </w:r>
      <w:r>
        <w:t xml:space="preserve"> </w:t>
      </w:r>
    </w:p>
    <w:p w14:paraId="1B82196E" w14:textId="5A0B37C6" w:rsidR="008E3A24" w:rsidRDefault="008E3A24" w:rsidP="008E3A24">
      <w:pPr>
        <w:pStyle w:val="Bullet1"/>
        <w:numPr>
          <w:ilvl w:val="0"/>
          <w:numId w:val="0"/>
        </w:numPr>
        <w:ind w:left="360" w:hanging="360"/>
      </w:pPr>
    </w:p>
    <w:p w14:paraId="7B6798AB" w14:textId="77777777" w:rsidR="008E3A24" w:rsidRDefault="008E3A24" w:rsidP="008E3A24">
      <w:pPr>
        <w:pStyle w:val="Bullet1"/>
        <w:numPr>
          <w:ilvl w:val="0"/>
          <w:numId w:val="0"/>
        </w:numPr>
        <w:ind w:left="360" w:hanging="360"/>
      </w:pPr>
    </w:p>
    <w:p w14:paraId="1B68F781" w14:textId="5E8E768E" w:rsidR="00DA221A" w:rsidRDefault="00DA221A" w:rsidP="008E3A24">
      <w:pPr>
        <w:pStyle w:val="Bullet1"/>
        <w:numPr>
          <w:ilvl w:val="0"/>
          <w:numId w:val="0"/>
        </w:numPr>
        <w:shd w:val="clear" w:color="auto" w:fill="92D050"/>
        <w:jc w:val="center"/>
        <w:rPr>
          <w:i/>
          <w:sz w:val="24"/>
        </w:rPr>
      </w:pPr>
    </w:p>
    <w:p w14:paraId="1A670B7E" w14:textId="77777777" w:rsidR="008E3A24" w:rsidRPr="00CB5722" w:rsidRDefault="008E3A24" w:rsidP="008E3A24">
      <w:pPr>
        <w:pStyle w:val="Bullet1"/>
        <w:numPr>
          <w:ilvl w:val="0"/>
          <w:numId w:val="0"/>
        </w:numPr>
        <w:shd w:val="clear" w:color="auto" w:fill="92D050"/>
        <w:jc w:val="center"/>
        <w:rPr>
          <w:i/>
          <w:sz w:val="24"/>
        </w:rPr>
      </w:pPr>
    </w:p>
    <w:sectPr w:rsidR="008E3A24" w:rsidRPr="00CB5722" w:rsidSect="00C067C4">
      <w:footerReference w:type="default" r:id="rId8"/>
      <w:pgSz w:w="11906" w:h="16838"/>
      <w:pgMar w:top="720" w:right="720" w:bottom="720" w:left="720" w:header="283"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4B55E" w14:textId="77777777" w:rsidR="00C41AB5" w:rsidRDefault="00C41AB5" w:rsidP="00913304">
      <w:pPr>
        <w:spacing w:after="0" w:line="240" w:lineRule="auto"/>
      </w:pPr>
      <w:r>
        <w:separator/>
      </w:r>
    </w:p>
  </w:endnote>
  <w:endnote w:type="continuationSeparator" w:id="0">
    <w:p w14:paraId="371E45F7" w14:textId="77777777" w:rsidR="00C41AB5" w:rsidRDefault="00C41AB5" w:rsidP="0091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394"/>
    </w:tblGrid>
    <w:tr w:rsidR="007F30F0" w:rsidRPr="00AC39A6" w14:paraId="328B3476" w14:textId="77777777" w:rsidTr="00C067C4">
      <w:trPr>
        <w:trHeight w:val="288"/>
      </w:trPr>
      <w:tc>
        <w:tcPr>
          <w:tcW w:w="9072" w:type="dxa"/>
        </w:tcPr>
        <w:p w14:paraId="2BB6974A" w14:textId="77777777" w:rsidR="007F30F0" w:rsidRDefault="007F30F0" w:rsidP="007F30F0">
          <w:pPr>
            <w:pStyle w:val="Footer"/>
            <w:tabs>
              <w:tab w:val="right" w:pos="9781"/>
            </w:tabs>
            <w:rPr>
              <w:sz w:val="14"/>
              <w:szCs w:val="18"/>
            </w:rPr>
          </w:pPr>
          <w:r w:rsidRPr="00AC39A6">
            <w:rPr>
              <w:sz w:val="14"/>
              <w:szCs w:val="18"/>
            </w:rPr>
            <w:t xml:space="preserve">AGRA ENVIRONMENTAL AND SOCIAL MANAGEMENT SYSTEM  </w:t>
          </w:r>
        </w:p>
        <w:p w14:paraId="16D6B432" w14:textId="42C722FC" w:rsidR="007F30F0" w:rsidRPr="00AC39A6" w:rsidRDefault="007F30F0" w:rsidP="007F30F0">
          <w:pPr>
            <w:pStyle w:val="Footer"/>
            <w:tabs>
              <w:tab w:val="right" w:pos="9781"/>
            </w:tabs>
            <w:rPr>
              <w:sz w:val="14"/>
              <w:szCs w:val="18"/>
            </w:rPr>
          </w:pPr>
          <w:r>
            <w:rPr>
              <w:sz w:val="14"/>
              <w:szCs w:val="18"/>
            </w:rPr>
            <w:t>EXCLUSION LIST</w:t>
          </w:r>
        </w:p>
      </w:tc>
      <w:tc>
        <w:tcPr>
          <w:tcW w:w="1394" w:type="dxa"/>
        </w:tcPr>
        <w:p w14:paraId="45CBB27D" w14:textId="4BEFDE66" w:rsidR="007F30F0" w:rsidRPr="00AC39A6" w:rsidRDefault="001C21D1" w:rsidP="007F30F0">
          <w:pPr>
            <w:pStyle w:val="Footer"/>
            <w:tabs>
              <w:tab w:val="right" w:pos="9781"/>
            </w:tabs>
            <w:rPr>
              <w:sz w:val="14"/>
              <w:szCs w:val="18"/>
            </w:rPr>
          </w:pPr>
          <w:r>
            <w:rPr>
              <w:sz w:val="14"/>
              <w:szCs w:val="18"/>
            </w:rPr>
            <w:t>FEBRUARY</w:t>
          </w:r>
          <w:r w:rsidRPr="00AC39A6">
            <w:rPr>
              <w:sz w:val="14"/>
              <w:szCs w:val="18"/>
            </w:rPr>
            <w:t xml:space="preserve"> </w:t>
          </w:r>
          <w:r w:rsidR="007F30F0" w:rsidRPr="00AC39A6">
            <w:rPr>
              <w:sz w:val="14"/>
              <w:szCs w:val="18"/>
            </w:rPr>
            <w:t>201</w:t>
          </w:r>
          <w:r w:rsidR="00E95BF4">
            <w:rPr>
              <w:sz w:val="14"/>
              <w:szCs w:val="18"/>
            </w:rPr>
            <w:t>9</w:t>
          </w:r>
        </w:p>
      </w:tc>
    </w:tr>
  </w:tbl>
  <w:sdt>
    <w:sdtPr>
      <w:id w:val="1842972840"/>
      <w:docPartObj>
        <w:docPartGallery w:val="Page Numbers (Bottom of Page)"/>
        <w:docPartUnique/>
      </w:docPartObj>
    </w:sdtPr>
    <w:sdtEndPr>
      <w:rPr>
        <w:rFonts w:asciiTheme="majorHAnsi" w:hAnsiTheme="majorHAnsi"/>
        <w:sz w:val="18"/>
      </w:rPr>
    </w:sdtEndPr>
    <w:sdtContent>
      <w:p w14:paraId="21685E8C" w14:textId="5D09912F" w:rsidR="007F30F0" w:rsidRPr="00821DFC" w:rsidRDefault="007F30F0" w:rsidP="007F30F0">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C067C4" w:rsidRPr="00C067C4">
          <w:rPr>
            <w:rFonts w:asciiTheme="majorHAnsi" w:hAnsiTheme="majorHAnsi"/>
            <w:noProof/>
            <w:sz w:val="18"/>
            <w:lang w:val="de-DE"/>
          </w:rPr>
          <w:t>1</w:t>
        </w:r>
        <w:r w:rsidRPr="00821DFC">
          <w:rPr>
            <w:rFonts w:asciiTheme="majorHAnsi" w:hAnsiTheme="majorHAnsi"/>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394C1" w14:textId="77777777" w:rsidR="00C41AB5" w:rsidRDefault="00C41AB5" w:rsidP="00913304">
      <w:pPr>
        <w:spacing w:after="0" w:line="240" w:lineRule="auto"/>
      </w:pPr>
      <w:r>
        <w:separator/>
      </w:r>
    </w:p>
  </w:footnote>
  <w:footnote w:type="continuationSeparator" w:id="0">
    <w:p w14:paraId="257537ED" w14:textId="77777777" w:rsidR="00C41AB5" w:rsidRDefault="00C41AB5" w:rsidP="00913304">
      <w:pPr>
        <w:spacing w:after="0" w:line="240" w:lineRule="auto"/>
      </w:pPr>
      <w:r>
        <w:continuationSeparator/>
      </w:r>
    </w:p>
  </w:footnote>
  <w:footnote w:id="1">
    <w:p w14:paraId="2DDED61D" w14:textId="014949F4" w:rsidR="0082453D" w:rsidRPr="000304AE" w:rsidRDefault="0082453D">
      <w:pPr>
        <w:pStyle w:val="FootnoteText"/>
        <w:rPr>
          <w:rFonts w:eastAsiaTheme="minorHAnsi" w:cs="Arial"/>
          <w:color w:val="000000"/>
          <w:sz w:val="18"/>
          <w:szCs w:val="24"/>
        </w:rPr>
      </w:pPr>
      <w:r w:rsidRPr="0082453D">
        <w:rPr>
          <w:rFonts w:eastAsiaTheme="minorHAnsi" w:cs="Arial"/>
          <w:color w:val="000000"/>
          <w:sz w:val="18"/>
          <w:szCs w:val="24"/>
        </w:rPr>
        <w:footnoteRef/>
      </w:r>
      <w:r w:rsidRPr="0082453D">
        <w:rPr>
          <w:rFonts w:eastAsiaTheme="minorHAnsi" w:cs="Arial"/>
          <w:color w:val="000000"/>
          <w:sz w:val="18"/>
          <w:szCs w:val="24"/>
        </w:rPr>
        <w:t xml:space="preserve"> </w:t>
      </w:r>
      <w:r w:rsidRPr="000304AE">
        <w:rPr>
          <w:rFonts w:eastAsiaTheme="minorHAnsi" w:cs="Arial"/>
          <w:color w:val="000000"/>
          <w:sz w:val="18"/>
          <w:szCs w:val="24"/>
        </w:rPr>
        <w:t>IFC</w:t>
      </w:r>
      <w:r w:rsidRPr="0082453D">
        <w:rPr>
          <w:rFonts w:eastAsiaTheme="minorHAnsi" w:cs="Arial"/>
          <w:color w:val="000000"/>
          <w:sz w:val="18"/>
          <w:szCs w:val="24"/>
        </w:rPr>
        <w:t xml:space="preserve"> Exclusion List (2007)</w:t>
      </w:r>
    </w:p>
  </w:footnote>
  <w:footnote w:id="2">
    <w:p w14:paraId="2415F6D3" w14:textId="66491211" w:rsidR="000304AE" w:rsidRPr="000304AE" w:rsidRDefault="000304AE">
      <w:pPr>
        <w:pStyle w:val="FootnoteText"/>
      </w:pPr>
      <w:r w:rsidRPr="000304AE">
        <w:rPr>
          <w:rFonts w:eastAsiaTheme="minorHAnsi" w:cs="Arial"/>
          <w:color w:val="000000"/>
          <w:sz w:val="18"/>
          <w:szCs w:val="24"/>
        </w:rPr>
        <w:footnoteRef/>
      </w:r>
      <w:r w:rsidRPr="000304AE">
        <w:rPr>
          <w:rFonts w:eastAsiaTheme="minorHAnsi" w:cs="Arial"/>
          <w:color w:val="000000"/>
          <w:sz w:val="18"/>
          <w:szCs w:val="24"/>
        </w:rPr>
        <w:t xml:space="preserve"> </w:t>
      </w:r>
      <w:r w:rsidRPr="0082453D">
        <w:rPr>
          <w:rFonts w:eastAsiaTheme="minorHAnsi" w:cs="Arial"/>
          <w:color w:val="000000"/>
          <w:sz w:val="18"/>
          <w:szCs w:val="24"/>
        </w:rPr>
        <w:t>ABN AMRO Exclusion List (2017)</w:t>
      </w:r>
    </w:p>
  </w:footnote>
  <w:footnote w:id="3">
    <w:p w14:paraId="65FF496D" w14:textId="77777777" w:rsidR="00057249" w:rsidRPr="00D82222" w:rsidRDefault="00057249" w:rsidP="00057249">
      <w:pPr>
        <w:pStyle w:val="Default"/>
        <w:rPr>
          <w:rFonts w:ascii="Calibri" w:hAnsi="Calibri" w:cs="Calibri"/>
          <w:lang w:val="en-US"/>
        </w:rPr>
      </w:pPr>
      <w:r w:rsidRPr="00D82222">
        <w:rPr>
          <w:rStyle w:val="FootnoteReference"/>
          <w:rFonts w:ascii="Book Antiqua" w:eastAsia="Times New Roman" w:hAnsi="Book Antiqua" w:cs="Times New Roman"/>
          <w:color w:val="auto"/>
          <w:sz w:val="18"/>
          <w:szCs w:val="20"/>
          <w:lang w:val="en-US" w:eastAsia="de-DE"/>
        </w:rPr>
        <w:footnoteRef/>
      </w:r>
      <w:r>
        <w:rPr>
          <w:rFonts w:ascii="Book Antiqua" w:hAnsi="Book Antiqua"/>
          <w:sz w:val="18"/>
          <w:lang w:val="en-US" w:eastAsia="de-DE"/>
        </w:rPr>
        <w:t xml:space="preserve"> </w:t>
      </w:r>
      <w:r w:rsidRPr="00D82222">
        <w:rPr>
          <w:rFonts w:ascii="Book Antiqua" w:hAnsi="Book Antiqua"/>
          <w:sz w:val="18"/>
          <w:lang w:val="en-US" w:eastAsia="de-DE"/>
        </w:rPr>
        <w:t>Logging</w:t>
      </w:r>
      <w:r w:rsidRPr="00D82222">
        <w:rPr>
          <w:rFonts w:ascii="Calibri" w:hAnsi="Calibri" w:cs="Calibri"/>
          <w:sz w:val="10"/>
          <w:szCs w:val="16"/>
          <w:lang w:val="en-US"/>
        </w:rPr>
        <w:t xml:space="preserve"> </w:t>
      </w:r>
      <w:r w:rsidRPr="00D82222">
        <w:rPr>
          <w:rFonts w:ascii="Book Antiqua" w:hAnsi="Book Antiqua"/>
          <w:sz w:val="18"/>
          <w:lang w:val="en-US" w:eastAsia="de-DE"/>
        </w:rPr>
        <w:t>and forest management in the final stage (main assessment) of the process of certification is considered as certified</w:t>
      </w:r>
      <w:r w:rsidRPr="00D82222">
        <w:rPr>
          <w:rFonts w:ascii="Calibri" w:hAnsi="Calibri" w:cs="Calibri"/>
          <w:sz w:val="16"/>
          <w:szCs w:val="16"/>
          <w:lang w:val="en-US"/>
        </w:rPr>
        <w:t xml:space="preserve"> </w:t>
      </w:r>
    </w:p>
  </w:footnote>
  <w:footnote w:id="4">
    <w:p w14:paraId="0DB0BB2F" w14:textId="77777777" w:rsidR="00057249" w:rsidRPr="00D82222" w:rsidRDefault="00057249" w:rsidP="00057249">
      <w:pPr>
        <w:pStyle w:val="Default"/>
        <w:rPr>
          <w:rFonts w:ascii="Calibri" w:hAnsi="Calibri" w:cs="Calibri"/>
          <w:lang w:val="en-US"/>
        </w:rPr>
      </w:pPr>
      <w:r w:rsidRPr="00D82222">
        <w:rPr>
          <w:rStyle w:val="FootnoteReference"/>
          <w:rFonts w:ascii="Book Antiqua" w:eastAsia="Times New Roman" w:hAnsi="Book Antiqua" w:cs="Times New Roman"/>
          <w:color w:val="auto"/>
          <w:sz w:val="18"/>
          <w:szCs w:val="20"/>
          <w:lang w:val="en-US" w:eastAsia="de-DE"/>
        </w:rPr>
        <w:footnoteRef/>
      </w:r>
      <w:r>
        <w:rPr>
          <w:rFonts w:ascii="Book Antiqua" w:hAnsi="Book Antiqua"/>
          <w:sz w:val="18"/>
          <w:lang w:val="en-US" w:eastAsia="de-DE"/>
        </w:rPr>
        <w:t xml:space="preserve"> </w:t>
      </w:r>
      <w:proofErr w:type="gramStart"/>
      <w:r w:rsidRPr="00D82222">
        <w:rPr>
          <w:rFonts w:ascii="Book Antiqua" w:hAnsi="Book Antiqua"/>
          <w:sz w:val="18"/>
          <w:lang w:val="en-US" w:eastAsia="de-DE"/>
        </w:rPr>
        <w:t>Naturally</w:t>
      </w:r>
      <w:proofErr w:type="gramEnd"/>
      <w:r w:rsidRPr="00D82222">
        <w:rPr>
          <w:rFonts w:ascii="Book Antiqua" w:hAnsi="Book Antiqua"/>
          <w:sz w:val="18"/>
          <w:lang w:val="en-US" w:eastAsia="de-DE"/>
        </w:rPr>
        <w:t xml:space="preserve"> regenerated forest of native species, where there are no clearly visible indications of human activities and the ecological processes and are not significantly disturbed.</w:t>
      </w:r>
      <w:r w:rsidRPr="00D82222">
        <w:rPr>
          <w:rFonts w:ascii="Calibri" w:hAnsi="Calibri" w:cs="Calibri"/>
          <w:sz w:val="16"/>
          <w:szCs w:val="16"/>
          <w:lang w:val="en-US"/>
        </w:rPr>
        <w:t xml:space="preserve"> </w:t>
      </w:r>
      <w:r w:rsidRPr="00D82222">
        <w:rPr>
          <w:rFonts w:ascii="Calibri" w:hAnsi="Calibri" w:cs="Calibri"/>
          <w:lang w:val="en-US"/>
        </w:rPr>
        <w:t xml:space="preserve"> </w:t>
      </w:r>
    </w:p>
  </w:footnote>
  <w:footnote w:id="5">
    <w:p w14:paraId="5009B2B8" w14:textId="77777777" w:rsidR="00057249" w:rsidRPr="00252F68" w:rsidRDefault="00057249" w:rsidP="00057249">
      <w:pPr>
        <w:pStyle w:val="Default"/>
        <w:rPr>
          <w:rFonts w:ascii="Calibri" w:hAnsi="Calibri" w:cs="Calibri"/>
          <w:lang w:val="en-US"/>
        </w:rPr>
      </w:pPr>
      <w:r w:rsidRPr="00D82222">
        <w:rPr>
          <w:rStyle w:val="FootnoteReference"/>
          <w:rFonts w:ascii="Book Antiqua" w:eastAsia="Times New Roman" w:hAnsi="Book Antiqua" w:cs="Times New Roman"/>
          <w:color w:val="auto"/>
          <w:sz w:val="18"/>
          <w:szCs w:val="20"/>
          <w:lang w:val="en-US" w:eastAsia="de-DE"/>
        </w:rPr>
        <w:footnoteRef/>
      </w:r>
      <w:r w:rsidRPr="00D82222">
        <w:rPr>
          <w:rStyle w:val="FootnoteReference"/>
          <w:rFonts w:ascii="Book Antiqua" w:eastAsia="Times New Roman" w:hAnsi="Book Antiqua" w:cs="Times New Roman"/>
          <w:color w:val="auto"/>
          <w:sz w:val="18"/>
          <w:szCs w:val="20"/>
          <w:lang w:val="en-US" w:eastAsia="de-DE"/>
        </w:rPr>
        <w:t xml:space="preserve"> </w:t>
      </w:r>
      <w:r w:rsidRPr="00D82222">
        <w:rPr>
          <w:rFonts w:ascii="Book Antiqua" w:hAnsi="Book Antiqua"/>
          <w:sz w:val="18"/>
          <w:lang w:val="en-US" w:eastAsia="de-DE"/>
        </w:rPr>
        <w:t>Critical</w:t>
      </w:r>
      <w:r w:rsidRPr="00D82222">
        <w:rPr>
          <w:rFonts w:ascii="Book Antiqua" w:hAnsi="Book Antiqua"/>
          <w:sz w:val="12"/>
          <w:lang w:val="en-US" w:eastAsia="de-DE"/>
        </w:rPr>
        <w:t xml:space="preserve"> </w:t>
      </w:r>
      <w:r w:rsidRPr="00D82222">
        <w:rPr>
          <w:rFonts w:ascii="Book Antiqua" w:hAnsi="Book Antiqua"/>
          <w:sz w:val="18"/>
          <w:lang w:val="en-US" w:eastAsia="de-DE"/>
        </w:rPr>
        <w:t xml:space="preserve">habitat includes areas with high biodiversity value that meet the criteria of the IUCN classification, including habitat required for the survival of critically endangered or endangered species as defined by the IUCN Red List of Threatened Species or as defined in any national legislation; Primary Forest or forests of High Conservation Value shall be considered Critical Habitats. This also applies to UNESCO World Heritage Sites and areas subject to the </w:t>
      </w:r>
      <w:proofErr w:type="spellStart"/>
      <w:r w:rsidRPr="00D82222">
        <w:rPr>
          <w:rFonts w:ascii="Book Antiqua" w:hAnsi="Book Antiqua"/>
          <w:sz w:val="18"/>
          <w:lang w:val="en-US" w:eastAsia="de-DE"/>
        </w:rPr>
        <w:t>Ramsar</w:t>
      </w:r>
      <w:proofErr w:type="spellEnd"/>
      <w:r w:rsidRPr="00D82222">
        <w:rPr>
          <w:rFonts w:ascii="Book Antiqua" w:hAnsi="Book Antiqua"/>
          <w:sz w:val="18"/>
          <w:lang w:val="en-US" w:eastAsia="de-DE"/>
        </w:rPr>
        <w:t xml:space="preserve"> Convention on Wetlands.</w:t>
      </w:r>
      <w:r w:rsidRPr="00D82222">
        <w:rPr>
          <w:rFonts w:ascii="Calibri" w:hAnsi="Calibri" w:cs="Calibri"/>
          <w:sz w:val="16"/>
          <w:szCs w:val="16"/>
          <w:lang w:val="en-US"/>
        </w:rPr>
        <w:t xml:space="preserve"> </w:t>
      </w:r>
      <w:r w:rsidRPr="00D82222">
        <w:rPr>
          <w:rFonts w:ascii="Calibri" w:hAnsi="Calibri" w:cs="Calibri"/>
          <w:lang w:val="en-US"/>
        </w:rPr>
        <w:t xml:space="preserve"> </w:t>
      </w:r>
    </w:p>
  </w:footnote>
  <w:footnote w:id="6">
    <w:p w14:paraId="1F1A22F9" w14:textId="77777777" w:rsidR="00057249" w:rsidRPr="00DA221A" w:rsidRDefault="00057249" w:rsidP="00057249">
      <w:pPr>
        <w:pStyle w:val="FootnoteText"/>
      </w:pPr>
      <w:r>
        <w:rPr>
          <w:rStyle w:val="FootnoteReference"/>
        </w:rPr>
        <w:footnoteRef/>
      </w:r>
      <w:r>
        <w:t xml:space="preserve"> FAWC 1979: 1. Freedom from Hunger and Thirst, 2. Freedom from Discomfort, 3. Freedom from Pain, Injury or Disease, 4. Freedom to express (most) normal behavior, 5. Freedom from Fear and Distress</w:t>
      </w:r>
    </w:p>
  </w:footnote>
  <w:footnote w:id="7">
    <w:p w14:paraId="48BC7409" w14:textId="77777777" w:rsidR="00057249" w:rsidRPr="00DA221A" w:rsidRDefault="00057249" w:rsidP="00057249">
      <w:pPr>
        <w:pStyle w:val="Default"/>
        <w:rPr>
          <w:rFonts w:ascii="Calibri" w:hAnsi="Calibri" w:cs="Calibri"/>
          <w:lang w:val="en-US"/>
        </w:rPr>
      </w:pPr>
      <w:r w:rsidRPr="00DA221A">
        <w:rPr>
          <w:rStyle w:val="FootnoteReference"/>
          <w:rFonts w:ascii="Book Antiqua" w:eastAsia="Times New Roman" w:hAnsi="Book Antiqua" w:cs="Times New Roman"/>
          <w:color w:val="auto"/>
          <w:sz w:val="18"/>
          <w:szCs w:val="20"/>
          <w:lang w:val="en-US" w:eastAsia="de-DE"/>
        </w:rPr>
        <w:footnoteRef/>
      </w:r>
      <w:r w:rsidRPr="00DA221A">
        <w:rPr>
          <w:rStyle w:val="FootnoteReference"/>
          <w:rFonts w:ascii="Book Antiqua" w:eastAsia="Times New Roman" w:hAnsi="Book Antiqua" w:cs="Times New Roman"/>
          <w:color w:val="auto"/>
          <w:sz w:val="18"/>
          <w:szCs w:val="20"/>
          <w:lang w:val="en-US" w:eastAsia="de-DE"/>
        </w:rPr>
        <w:t xml:space="preserve"> </w:t>
      </w:r>
      <w:r w:rsidRPr="00DA221A">
        <w:rPr>
          <w:rFonts w:ascii="Book Antiqua" w:hAnsi="Book Antiqua"/>
          <w:sz w:val="18"/>
          <w:lang w:val="en-US" w:eastAsia="de-DE"/>
        </w:rPr>
        <w:t>Companies</w:t>
      </w:r>
      <w:r w:rsidRPr="00DA221A">
        <w:rPr>
          <w:rFonts w:ascii="Book Antiqua" w:hAnsi="Book Antiqua"/>
          <w:sz w:val="12"/>
          <w:lang w:val="en-US" w:eastAsia="de-DE"/>
        </w:rPr>
        <w:t xml:space="preserve"> </w:t>
      </w:r>
      <w:r w:rsidRPr="00DA221A">
        <w:rPr>
          <w:rFonts w:ascii="Book Antiqua" w:hAnsi="Book Antiqua"/>
          <w:sz w:val="18"/>
          <w:lang w:val="en-US" w:eastAsia="de-DE"/>
        </w:rPr>
        <w:t>that are not a member of RSPO should confirm (written) that they become a member within two years conform the Sustainability Engagement Strategy.</w:t>
      </w:r>
      <w:r w:rsidRPr="00DA221A">
        <w:rPr>
          <w:rFonts w:ascii="Calibri" w:hAnsi="Calibri" w:cs="Calibri"/>
          <w:sz w:val="16"/>
          <w:szCs w:val="16"/>
          <w:lang w:val="en-US"/>
        </w:rPr>
        <w:t xml:space="preserve"> </w:t>
      </w:r>
      <w:r w:rsidRPr="00DA221A">
        <w:rPr>
          <w:rFonts w:ascii="Calibri" w:hAnsi="Calibri" w:cs="Calibri"/>
          <w:lang w:val="en-US"/>
        </w:rPr>
        <w:t xml:space="preserve"> </w:t>
      </w:r>
    </w:p>
  </w:footnote>
  <w:footnote w:id="8">
    <w:p w14:paraId="00BC6559" w14:textId="77777777" w:rsidR="00057249" w:rsidRPr="00CF6268" w:rsidRDefault="00057249" w:rsidP="00057249">
      <w:pPr>
        <w:pStyle w:val="FootnoteText"/>
        <w:rPr>
          <w:sz w:val="18"/>
        </w:rPr>
      </w:pPr>
      <w:r w:rsidRPr="00CF6268">
        <w:rPr>
          <w:rStyle w:val="FootnoteReference"/>
          <w:sz w:val="18"/>
        </w:rPr>
        <w:footnoteRef/>
      </w:r>
      <w:r w:rsidRPr="00CF6268">
        <w:rPr>
          <w:sz w:val="18"/>
        </w:rPr>
        <w:t xml:space="preserve"> Forced labor means all work or service, not voluntarily performed, that </w:t>
      </w:r>
      <w:proofErr w:type="gramStart"/>
      <w:r w:rsidRPr="00CF6268">
        <w:rPr>
          <w:sz w:val="18"/>
        </w:rPr>
        <w:t>is extracted</w:t>
      </w:r>
      <w:proofErr w:type="gramEnd"/>
      <w:r w:rsidRPr="00CF6268">
        <w:rPr>
          <w:sz w:val="18"/>
        </w:rPr>
        <w:t xml:space="preserve"> from an individual under threat of force or penalty.</w:t>
      </w:r>
    </w:p>
  </w:footnote>
  <w:footnote w:id="9">
    <w:p w14:paraId="5688C645" w14:textId="77777777" w:rsidR="00057249" w:rsidRPr="004B5680" w:rsidRDefault="00057249" w:rsidP="00057249">
      <w:pPr>
        <w:pStyle w:val="FootnoteText"/>
      </w:pPr>
      <w:r w:rsidRPr="00CF6268">
        <w:rPr>
          <w:rStyle w:val="FootnoteReference"/>
          <w:sz w:val="18"/>
        </w:rPr>
        <w:footnoteRef/>
      </w:r>
      <w:r w:rsidRPr="00CF6268">
        <w:rPr>
          <w:sz w:val="18"/>
        </w:rPr>
        <w:t xml:space="preserve"> Harmful child labor means the employment of children that is economically exploitive, or is likely to be hazardous to, </w:t>
      </w:r>
      <w:proofErr w:type="gramStart"/>
      <w:r w:rsidRPr="00CF6268">
        <w:rPr>
          <w:sz w:val="18"/>
        </w:rPr>
        <w:t>or to</w:t>
      </w:r>
      <w:proofErr w:type="gramEnd"/>
      <w:r w:rsidRPr="00CF6268">
        <w:rPr>
          <w:sz w:val="18"/>
        </w:rPr>
        <w:t xml:space="preserve"> interfere with, the child's education, or to be harmful to the child's health, or physical, mental, spiritual, moral, or social development.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4BCA230"/>
    <w:lvl w:ilvl="0">
      <w:start w:val="1"/>
      <w:numFmt w:val="decimal"/>
      <w:pStyle w:val="Heading1"/>
      <w:lvlText w:val="%1"/>
      <w:lvlJc w:val="left"/>
      <w:pPr>
        <w:tabs>
          <w:tab w:val="num" w:pos="0"/>
        </w:tabs>
        <w:ind w:left="0" w:hanging="1418"/>
      </w:pPr>
      <w:rPr>
        <w:rFonts w:hint="default"/>
      </w:rPr>
    </w:lvl>
    <w:lvl w:ilvl="1">
      <w:start w:val="1"/>
      <w:numFmt w:val="decimal"/>
      <w:pStyle w:val="Heading2"/>
      <w:lvlText w:val="%1.%2"/>
      <w:lvlJc w:val="left"/>
      <w:pPr>
        <w:tabs>
          <w:tab w:val="num" w:pos="0"/>
        </w:tabs>
        <w:ind w:left="0" w:hanging="1418"/>
      </w:pPr>
      <w:rPr>
        <w:rFonts w:hint="default"/>
      </w:rPr>
    </w:lvl>
    <w:lvl w:ilvl="2">
      <w:start w:val="1"/>
      <w:numFmt w:val="decimal"/>
      <w:pStyle w:val="Heading3"/>
      <w:lvlText w:val="%1.%2.%3"/>
      <w:lvlJc w:val="left"/>
      <w:pPr>
        <w:tabs>
          <w:tab w:val="num" w:pos="0"/>
        </w:tabs>
        <w:ind w:left="0" w:hanging="1418"/>
      </w:pPr>
      <w:rPr>
        <w:rFonts w:hint="default"/>
      </w:rPr>
    </w:lvl>
    <w:lvl w:ilvl="3">
      <w:start w:val="1"/>
      <w:numFmt w:val="decimal"/>
      <w:lvlText w:val="%1.%2.%3.%4"/>
      <w:lvlJc w:val="left"/>
      <w:pPr>
        <w:tabs>
          <w:tab w:val="num" w:pos="0"/>
        </w:tabs>
        <w:ind w:left="0" w:hanging="1418"/>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710"/>
        </w:tabs>
        <w:ind w:left="4248" w:hanging="708"/>
      </w:pPr>
      <w:rPr>
        <w:rFonts w:hint="default"/>
      </w:rPr>
    </w:lvl>
    <w:lvl w:ilvl="6">
      <w:start w:val="1"/>
      <w:numFmt w:val="decimal"/>
      <w:lvlText w:val="%1.%2.%3.%4.%5.%6.%7"/>
      <w:lvlJc w:val="left"/>
      <w:pPr>
        <w:tabs>
          <w:tab w:val="num" w:pos="-710"/>
        </w:tabs>
        <w:ind w:left="4956" w:hanging="708"/>
      </w:pPr>
      <w:rPr>
        <w:rFonts w:hint="default"/>
      </w:rPr>
    </w:lvl>
    <w:lvl w:ilvl="7">
      <w:start w:val="1"/>
      <w:numFmt w:val="decimal"/>
      <w:lvlText w:val="%1.%2.%3.%4.%5.%6.%7.%8"/>
      <w:lvlJc w:val="left"/>
      <w:pPr>
        <w:tabs>
          <w:tab w:val="num" w:pos="-710"/>
        </w:tabs>
        <w:ind w:left="5664" w:hanging="708"/>
      </w:pPr>
      <w:rPr>
        <w:rFonts w:hint="default"/>
      </w:rPr>
    </w:lvl>
    <w:lvl w:ilvl="8">
      <w:start w:val="1"/>
      <w:numFmt w:val="decimal"/>
      <w:lvlText w:val="%1.%2.%3.%4.%5.%6.%7.%8.%9"/>
      <w:lvlJc w:val="left"/>
      <w:pPr>
        <w:tabs>
          <w:tab w:val="num" w:pos="-710"/>
        </w:tabs>
        <w:ind w:left="6372" w:hanging="708"/>
      </w:pPr>
      <w:rPr>
        <w:rFonts w:hint="default"/>
      </w:rPr>
    </w:lvl>
  </w:abstractNum>
  <w:abstractNum w:abstractNumId="1" w15:restartNumberingAfterBreak="0">
    <w:nsid w:val="1E072AD0"/>
    <w:multiLevelType w:val="hybridMultilevel"/>
    <w:tmpl w:val="6BD08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B94A1A"/>
    <w:multiLevelType w:val="hybridMultilevel"/>
    <w:tmpl w:val="1C5EC494"/>
    <w:lvl w:ilvl="0" w:tplc="0407000F">
      <w:start w:val="1"/>
      <w:numFmt w:val="decimal"/>
      <w:lvlText w:val="%1."/>
      <w:lvlJc w:val="left"/>
      <w:pPr>
        <w:ind w:left="720" w:hanging="360"/>
      </w:pPr>
    </w:lvl>
    <w:lvl w:ilvl="1" w:tplc="04070011">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5B5B93"/>
    <w:multiLevelType w:val="hybridMultilevel"/>
    <w:tmpl w:val="9F2A8F56"/>
    <w:lvl w:ilvl="0" w:tplc="76A651F4">
      <w:start w:val="1"/>
      <w:numFmt w:val="bullet"/>
      <w:pStyle w:val="Bullet3"/>
      <w:lvlText w:val="o"/>
      <w:lvlJc w:val="left"/>
      <w:pPr>
        <w:ind w:left="1069" w:hanging="360"/>
      </w:pPr>
      <w:rPr>
        <w:rFonts w:ascii="Courier New" w:hAnsi="Courier New" w:cs="Courier New"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5" w15:restartNumberingAfterBreak="0">
    <w:nsid w:val="6B671022"/>
    <w:multiLevelType w:val="hybridMultilevel"/>
    <w:tmpl w:val="4BA438D8"/>
    <w:lvl w:ilvl="0" w:tplc="D1C28A18">
      <w:start w:val="1"/>
      <w:numFmt w:val="decimal"/>
      <w:lvlText w:val="%1."/>
      <w:lvlJc w:val="left"/>
      <w:pPr>
        <w:ind w:left="720" w:hanging="360"/>
      </w:pPr>
    </w:lvl>
    <w:lvl w:ilvl="1" w:tplc="0407001B">
      <w:start w:val="1"/>
      <w:numFmt w:val="low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89012F"/>
    <w:multiLevelType w:val="singleLevel"/>
    <w:tmpl w:val="F032510E"/>
    <w:lvl w:ilvl="0">
      <w:start w:val="1"/>
      <w:numFmt w:val="bullet"/>
      <w:pStyle w:val="Bullet2"/>
      <w:lvlText w:val="-"/>
      <w:lvlJc w:val="left"/>
      <w:pPr>
        <w:tabs>
          <w:tab w:val="num" w:pos="360"/>
        </w:tabs>
        <w:ind w:left="360" w:hanging="360"/>
      </w:pPr>
      <w:rPr>
        <w:sz w:val="16"/>
      </w:rPr>
    </w:lvl>
  </w:abstractNum>
  <w:abstractNum w:abstractNumId="7" w15:restartNumberingAfterBreak="0">
    <w:nsid w:val="6E5804D8"/>
    <w:multiLevelType w:val="hybridMultilevel"/>
    <w:tmpl w:val="F6CED544"/>
    <w:lvl w:ilvl="0" w:tplc="D1C28A18">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CB2388"/>
    <w:multiLevelType w:val="hybridMultilevel"/>
    <w:tmpl w:val="37C282D8"/>
    <w:lvl w:ilvl="0" w:tplc="D1C28A18">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77E765E"/>
    <w:multiLevelType w:val="hybridMultilevel"/>
    <w:tmpl w:val="87F8D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536688"/>
    <w:multiLevelType w:val="hybridMultilevel"/>
    <w:tmpl w:val="7F464918"/>
    <w:lvl w:ilvl="0" w:tplc="D1C28A18">
      <w:start w:val="1"/>
      <w:numFmt w:val="decimal"/>
      <w:lvlText w:val="%1."/>
      <w:lvlJc w:val="left"/>
      <w:pPr>
        <w:ind w:left="720" w:hanging="360"/>
      </w:pPr>
    </w:lvl>
    <w:lvl w:ilvl="1" w:tplc="0407001B">
      <w:start w:val="1"/>
      <w:numFmt w:val="lowerRoman"/>
      <w:lvlText w:val="%2."/>
      <w:lvlJc w:val="righ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7"/>
    <w:lvlOverride w:ilvl="0">
      <w:lvl w:ilvl="0" w:tplc="D1C28A18">
        <w:start w:val="1"/>
        <w:numFmt w:val="lowerLetter"/>
        <w:lvlText w:val="%1."/>
        <w:lvlJc w:val="left"/>
        <w:pPr>
          <w:ind w:left="1440" w:hanging="360"/>
        </w:pPr>
        <w:rPr>
          <w:rFonts w:hint="default"/>
        </w:rPr>
      </w:lvl>
    </w:lvlOverride>
    <w:lvlOverride w:ilvl="1">
      <w:lvl w:ilvl="1" w:tplc="04070017">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5">
    <w:abstractNumId w:val="10"/>
  </w:num>
  <w:num w:numId="6">
    <w:abstractNumId w:val="5"/>
  </w:num>
  <w:num w:numId="7">
    <w:abstractNumId w:val="1"/>
  </w:num>
  <w:num w:numId="8">
    <w:abstractNumId w:val="9"/>
  </w:num>
  <w:num w:numId="9">
    <w:abstractNumId w:val="4"/>
  </w:num>
  <w:num w:numId="10">
    <w:abstractNumId w:val="6"/>
  </w:num>
  <w:num w:numId="11">
    <w:abstractNumId w:val="3"/>
  </w:num>
  <w:num w:numId="12">
    <w:abstractNumId w:val="0"/>
  </w:num>
  <w:num w:numId="13">
    <w:abstractNumId w:val="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B5"/>
    <w:rsid w:val="00001FFF"/>
    <w:rsid w:val="000304AE"/>
    <w:rsid w:val="00041A95"/>
    <w:rsid w:val="00057249"/>
    <w:rsid w:val="00076FEE"/>
    <w:rsid w:val="001032B8"/>
    <w:rsid w:val="00120E76"/>
    <w:rsid w:val="001B7B08"/>
    <w:rsid w:val="001C21D1"/>
    <w:rsid w:val="001C6EF6"/>
    <w:rsid w:val="00252F68"/>
    <w:rsid w:val="002A02ED"/>
    <w:rsid w:val="00325661"/>
    <w:rsid w:val="003328D4"/>
    <w:rsid w:val="0034303D"/>
    <w:rsid w:val="00354AF0"/>
    <w:rsid w:val="00355BC3"/>
    <w:rsid w:val="003A2E93"/>
    <w:rsid w:val="00411099"/>
    <w:rsid w:val="00444C89"/>
    <w:rsid w:val="004474B1"/>
    <w:rsid w:val="0049335D"/>
    <w:rsid w:val="004B5680"/>
    <w:rsid w:val="004B5D3A"/>
    <w:rsid w:val="00541FB5"/>
    <w:rsid w:val="005A4297"/>
    <w:rsid w:val="005D73A8"/>
    <w:rsid w:val="006129DD"/>
    <w:rsid w:val="0067068E"/>
    <w:rsid w:val="006727CC"/>
    <w:rsid w:val="0069389D"/>
    <w:rsid w:val="006943AD"/>
    <w:rsid w:val="00701399"/>
    <w:rsid w:val="0073536E"/>
    <w:rsid w:val="00742341"/>
    <w:rsid w:val="007F2C9C"/>
    <w:rsid w:val="007F30F0"/>
    <w:rsid w:val="0081218E"/>
    <w:rsid w:val="0082453D"/>
    <w:rsid w:val="008441F9"/>
    <w:rsid w:val="008E3A24"/>
    <w:rsid w:val="008E6B04"/>
    <w:rsid w:val="00913304"/>
    <w:rsid w:val="00932ADE"/>
    <w:rsid w:val="0097551C"/>
    <w:rsid w:val="00976A53"/>
    <w:rsid w:val="00984977"/>
    <w:rsid w:val="009C23E9"/>
    <w:rsid w:val="00A700B6"/>
    <w:rsid w:val="00A76A82"/>
    <w:rsid w:val="00B6094C"/>
    <w:rsid w:val="00BB44BE"/>
    <w:rsid w:val="00BC5CBD"/>
    <w:rsid w:val="00BD736B"/>
    <w:rsid w:val="00BF48B1"/>
    <w:rsid w:val="00C067C4"/>
    <w:rsid w:val="00C26999"/>
    <w:rsid w:val="00C41AB5"/>
    <w:rsid w:val="00CB5722"/>
    <w:rsid w:val="00CB5B28"/>
    <w:rsid w:val="00CF6268"/>
    <w:rsid w:val="00D056C8"/>
    <w:rsid w:val="00D23A1F"/>
    <w:rsid w:val="00D82222"/>
    <w:rsid w:val="00DA221A"/>
    <w:rsid w:val="00DD779E"/>
    <w:rsid w:val="00E70F64"/>
    <w:rsid w:val="00E72246"/>
    <w:rsid w:val="00E77E0C"/>
    <w:rsid w:val="00E94BA7"/>
    <w:rsid w:val="00E95BF4"/>
    <w:rsid w:val="00F41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08101E"/>
  <w15:docId w15:val="{866FFE93-9ACB-4E2D-99B1-2575389D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1F9"/>
    <w:pPr>
      <w:spacing w:after="240" w:line="264" w:lineRule="auto"/>
    </w:pPr>
    <w:rPr>
      <w:rFonts w:ascii="Book Antiqua" w:eastAsia="Times New Roman" w:hAnsi="Book Antiqua" w:cs="Times New Roman"/>
      <w:szCs w:val="20"/>
      <w:lang w:val="en-US" w:eastAsia="de-DE"/>
    </w:rPr>
  </w:style>
  <w:style w:type="paragraph" w:styleId="Heading1">
    <w:name w:val="heading 1"/>
    <w:basedOn w:val="Normal"/>
    <w:next w:val="Normal"/>
    <w:link w:val="Heading1Char"/>
    <w:qFormat/>
    <w:rsid w:val="008441F9"/>
    <w:pPr>
      <w:keepNext/>
      <w:pageBreakBefore/>
      <w:widowControl w:val="0"/>
      <w:numPr>
        <w:numId w:val="14"/>
      </w:numPr>
      <w:suppressAutoHyphens/>
      <w:spacing w:after="480"/>
      <w:outlineLvl w:val="0"/>
    </w:pPr>
    <w:rPr>
      <w:b/>
      <w:i/>
      <w:caps/>
      <w:kern w:val="28"/>
    </w:rPr>
  </w:style>
  <w:style w:type="paragraph" w:styleId="Heading2">
    <w:name w:val="heading 2"/>
    <w:basedOn w:val="Heading1"/>
    <w:next w:val="Normal"/>
    <w:link w:val="Heading2Char"/>
    <w:qFormat/>
    <w:rsid w:val="008441F9"/>
    <w:pPr>
      <w:pageBreakBefore w:val="0"/>
      <w:widowControl/>
      <w:numPr>
        <w:ilvl w:val="1"/>
      </w:numPr>
      <w:spacing w:before="240" w:after="240"/>
      <w:outlineLvl w:val="1"/>
    </w:pPr>
    <w:rPr>
      <w:caps w:val="0"/>
      <w:smallCaps/>
    </w:rPr>
  </w:style>
  <w:style w:type="paragraph" w:styleId="Heading3">
    <w:name w:val="heading 3"/>
    <w:basedOn w:val="Heading1"/>
    <w:next w:val="Normal"/>
    <w:link w:val="Heading3Char"/>
    <w:qFormat/>
    <w:rsid w:val="008441F9"/>
    <w:pPr>
      <w:pageBreakBefore w:val="0"/>
      <w:numPr>
        <w:ilvl w:val="2"/>
      </w:numPr>
      <w:spacing w:before="240" w:after="240"/>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4B1"/>
    <w:pPr>
      <w:ind w:left="720"/>
      <w:contextualSpacing/>
    </w:pPr>
  </w:style>
  <w:style w:type="paragraph" w:styleId="FootnoteText">
    <w:name w:val="footnote text"/>
    <w:basedOn w:val="Normal"/>
    <w:link w:val="FootnoteTextChar"/>
    <w:uiPriority w:val="99"/>
    <w:semiHidden/>
    <w:unhideWhenUsed/>
    <w:rsid w:val="00913304"/>
    <w:pPr>
      <w:spacing w:after="0" w:line="240" w:lineRule="auto"/>
    </w:pPr>
    <w:rPr>
      <w:sz w:val="20"/>
    </w:rPr>
  </w:style>
  <w:style w:type="character" w:customStyle="1" w:styleId="FootnoteTextChar">
    <w:name w:val="Footnote Text Char"/>
    <w:basedOn w:val="DefaultParagraphFont"/>
    <w:link w:val="FootnoteText"/>
    <w:uiPriority w:val="99"/>
    <w:semiHidden/>
    <w:rsid w:val="00913304"/>
    <w:rPr>
      <w:sz w:val="20"/>
      <w:szCs w:val="20"/>
    </w:rPr>
  </w:style>
  <w:style w:type="character" w:styleId="FootnoteReference">
    <w:name w:val="footnote reference"/>
    <w:basedOn w:val="DefaultParagraphFont"/>
    <w:uiPriority w:val="99"/>
    <w:unhideWhenUsed/>
    <w:rsid w:val="00913304"/>
    <w:rPr>
      <w:vertAlign w:val="superscript"/>
    </w:rPr>
  </w:style>
  <w:style w:type="character" w:styleId="Hyperlink">
    <w:name w:val="Hyperlink"/>
    <w:basedOn w:val="DefaultParagraphFont"/>
    <w:uiPriority w:val="99"/>
    <w:unhideWhenUsed/>
    <w:rsid w:val="0067068E"/>
    <w:rPr>
      <w:color w:val="0000FF" w:themeColor="hyperlink"/>
      <w:u w:val="single"/>
    </w:rPr>
  </w:style>
  <w:style w:type="paragraph" w:styleId="BalloonText">
    <w:name w:val="Balloon Text"/>
    <w:basedOn w:val="Normal"/>
    <w:link w:val="BalloonTextChar"/>
    <w:uiPriority w:val="99"/>
    <w:semiHidden/>
    <w:unhideWhenUsed/>
    <w:rsid w:val="00735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36E"/>
    <w:rPr>
      <w:rFonts w:ascii="Tahoma" w:hAnsi="Tahoma" w:cs="Tahoma"/>
      <w:sz w:val="16"/>
      <w:szCs w:val="16"/>
    </w:rPr>
  </w:style>
  <w:style w:type="character" w:styleId="CommentReference">
    <w:name w:val="annotation reference"/>
    <w:basedOn w:val="DefaultParagraphFont"/>
    <w:uiPriority w:val="99"/>
    <w:semiHidden/>
    <w:unhideWhenUsed/>
    <w:rsid w:val="009C23E9"/>
    <w:rPr>
      <w:sz w:val="16"/>
      <w:szCs w:val="16"/>
    </w:rPr>
  </w:style>
  <w:style w:type="paragraph" w:styleId="CommentText">
    <w:name w:val="annotation text"/>
    <w:basedOn w:val="Normal"/>
    <w:link w:val="CommentTextChar"/>
    <w:uiPriority w:val="99"/>
    <w:semiHidden/>
    <w:unhideWhenUsed/>
    <w:rsid w:val="009C23E9"/>
    <w:pPr>
      <w:spacing w:line="240" w:lineRule="auto"/>
    </w:pPr>
    <w:rPr>
      <w:sz w:val="20"/>
    </w:rPr>
  </w:style>
  <w:style w:type="character" w:customStyle="1" w:styleId="CommentTextChar">
    <w:name w:val="Comment Text Char"/>
    <w:basedOn w:val="DefaultParagraphFont"/>
    <w:link w:val="CommentText"/>
    <w:uiPriority w:val="99"/>
    <w:semiHidden/>
    <w:rsid w:val="009C23E9"/>
    <w:rPr>
      <w:sz w:val="20"/>
      <w:szCs w:val="20"/>
    </w:rPr>
  </w:style>
  <w:style w:type="paragraph" w:styleId="CommentSubject">
    <w:name w:val="annotation subject"/>
    <w:basedOn w:val="CommentText"/>
    <w:next w:val="CommentText"/>
    <w:link w:val="CommentSubjectChar"/>
    <w:uiPriority w:val="99"/>
    <w:semiHidden/>
    <w:unhideWhenUsed/>
    <w:rsid w:val="009C23E9"/>
    <w:rPr>
      <w:b/>
      <w:bCs/>
    </w:rPr>
  </w:style>
  <w:style w:type="character" w:customStyle="1" w:styleId="CommentSubjectChar">
    <w:name w:val="Comment Subject Char"/>
    <w:basedOn w:val="CommentTextChar"/>
    <w:link w:val="CommentSubject"/>
    <w:uiPriority w:val="99"/>
    <w:semiHidden/>
    <w:rsid w:val="009C23E9"/>
    <w:rPr>
      <w:b/>
      <w:bCs/>
      <w:sz w:val="20"/>
      <w:szCs w:val="20"/>
    </w:rPr>
  </w:style>
  <w:style w:type="paragraph" w:styleId="Revision">
    <w:name w:val="Revision"/>
    <w:hidden/>
    <w:uiPriority w:val="99"/>
    <w:semiHidden/>
    <w:rsid w:val="009C23E9"/>
    <w:pPr>
      <w:spacing w:after="0" w:line="240" w:lineRule="auto"/>
    </w:pPr>
  </w:style>
  <w:style w:type="paragraph" w:customStyle="1" w:styleId="Bullet1">
    <w:name w:val="Bullet1"/>
    <w:basedOn w:val="Normal"/>
    <w:rsid w:val="008441F9"/>
    <w:pPr>
      <w:numPr>
        <w:numId w:val="9"/>
      </w:numPr>
      <w:spacing w:after="120"/>
    </w:pPr>
  </w:style>
  <w:style w:type="paragraph" w:customStyle="1" w:styleId="Bullet2">
    <w:name w:val="Bullet2"/>
    <w:basedOn w:val="Bullet1"/>
    <w:rsid w:val="008441F9"/>
    <w:pPr>
      <w:numPr>
        <w:numId w:val="10"/>
      </w:numPr>
    </w:pPr>
  </w:style>
  <w:style w:type="paragraph" w:customStyle="1" w:styleId="Bullet3">
    <w:name w:val="Bullet3"/>
    <w:qFormat/>
    <w:rsid w:val="008441F9"/>
    <w:pPr>
      <w:numPr>
        <w:numId w:val="11"/>
      </w:numPr>
      <w:spacing w:after="120" w:line="240" w:lineRule="auto"/>
    </w:pPr>
    <w:rPr>
      <w:rFonts w:ascii="Book Antiqua" w:eastAsia="Times New Roman" w:hAnsi="Book Antiqua" w:cs="Times New Roman"/>
      <w:szCs w:val="20"/>
      <w:lang w:val="en-US" w:eastAsia="de-DE"/>
    </w:rPr>
  </w:style>
  <w:style w:type="paragraph" w:styleId="Header">
    <w:name w:val="header"/>
    <w:basedOn w:val="Normal"/>
    <w:link w:val="HeaderChar"/>
    <w:rsid w:val="008441F9"/>
    <w:pPr>
      <w:tabs>
        <w:tab w:val="center" w:pos="4536"/>
        <w:tab w:val="right" w:pos="9072"/>
      </w:tabs>
    </w:pPr>
  </w:style>
  <w:style w:type="character" w:customStyle="1" w:styleId="HeaderChar">
    <w:name w:val="Header Char"/>
    <w:basedOn w:val="DefaultParagraphFont"/>
    <w:link w:val="Header"/>
    <w:rsid w:val="008441F9"/>
    <w:rPr>
      <w:rFonts w:ascii="Book Antiqua" w:eastAsia="Times New Roman" w:hAnsi="Book Antiqua" w:cs="Times New Roman"/>
      <w:szCs w:val="20"/>
      <w:lang w:val="en-US" w:eastAsia="de-DE"/>
    </w:rPr>
  </w:style>
  <w:style w:type="character" w:customStyle="1" w:styleId="Heading1Char">
    <w:name w:val="Heading 1 Char"/>
    <w:basedOn w:val="DefaultParagraphFont"/>
    <w:link w:val="Heading1"/>
    <w:rsid w:val="008441F9"/>
    <w:rPr>
      <w:rFonts w:ascii="Book Antiqua" w:eastAsia="Times New Roman" w:hAnsi="Book Antiqua" w:cs="Times New Roman"/>
      <w:b/>
      <w:i/>
      <w:caps/>
      <w:kern w:val="28"/>
      <w:szCs w:val="20"/>
      <w:lang w:val="en-US" w:eastAsia="de-DE"/>
    </w:rPr>
  </w:style>
  <w:style w:type="character" w:customStyle="1" w:styleId="Heading2Char">
    <w:name w:val="Heading 2 Char"/>
    <w:basedOn w:val="DefaultParagraphFont"/>
    <w:link w:val="Heading2"/>
    <w:rsid w:val="008441F9"/>
    <w:rPr>
      <w:rFonts w:ascii="Book Antiqua" w:eastAsia="Times New Roman" w:hAnsi="Book Antiqua" w:cs="Times New Roman"/>
      <w:b/>
      <w:i/>
      <w:smallCaps/>
      <w:kern w:val="28"/>
      <w:szCs w:val="20"/>
      <w:lang w:val="en-US" w:eastAsia="de-DE"/>
    </w:rPr>
  </w:style>
  <w:style w:type="character" w:customStyle="1" w:styleId="Heading3Char">
    <w:name w:val="Heading 3 Char"/>
    <w:basedOn w:val="DefaultParagraphFont"/>
    <w:link w:val="Heading3"/>
    <w:rsid w:val="008441F9"/>
    <w:rPr>
      <w:rFonts w:ascii="Book Antiqua" w:eastAsia="Times New Roman" w:hAnsi="Book Antiqua" w:cs="Times New Roman"/>
      <w:b/>
      <w:i/>
      <w:kern w:val="28"/>
      <w:szCs w:val="20"/>
      <w:lang w:val="en-US" w:eastAsia="de-DE"/>
    </w:rPr>
  </w:style>
  <w:style w:type="paragraph" w:customStyle="1" w:styleId="Default">
    <w:name w:val="Default"/>
    <w:rsid w:val="001032B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52F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2F68"/>
    <w:rPr>
      <w:rFonts w:ascii="Book Antiqua" w:eastAsia="Times New Roman" w:hAnsi="Book Antiqua" w:cs="Times New Roman"/>
      <w:szCs w:val="20"/>
      <w:lang w:val="en-US" w:eastAsia="de-DE"/>
    </w:rPr>
  </w:style>
  <w:style w:type="table" w:styleId="TableGrid">
    <w:name w:val="Table Grid"/>
    <w:basedOn w:val="TableNormal"/>
    <w:rsid w:val="00252F6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2453D"/>
    <w:pPr>
      <w:spacing w:after="0" w:line="240" w:lineRule="auto"/>
    </w:pPr>
    <w:rPr>
      <w:sz w:val="20"/>
    </w:rPr>
  </w:style>
  <w:style w:type="character" w:customStyle="1" w:styleId="EndnoteTextChar">
    <w:name w:val="Endnote Text Char"/>
    <w:basedOn w:val="DefaultParagraphFont"/>
    <w:link w:val="EndnoteText"/>
    <w:uiPriority w:val="99"/>
    <w:semiHidden/>
    <w:rsid w:val="0082453D"/>
    <w:rPr>
      <w:rFonts w:ascii="Book Antiqua" w:eastAsia="Times New Roman" w:hAnsi="Book Antiqua" w:cs="Times New Roman"/>
      <w:sz w:val="20"/>
      <w:szCs w:val="20"/>
      <w:lang w:val="en-US" w:eastAsia="de-DE"/>
    </w:rPr>
  </w:style>
  <w:style w:type="character" w:styleId="EndnoteReference">
    <w:name w:val="endnote reference"/>
    <w:basedOn w:val="DefaultParagraphFont"/>
    <w:uiPriority w:val="99"/>
    <w:semiHidden/>
    <w:unhideWhenUsed/>
    <w:rsid w:val="008245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FC81-1334-469D-A76B-B21C093D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ERM</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Liao</dc:creator>
  <cp:lastModifiedBy>Dimitri Militschenko</cp:lastModifiedBy>
  <cp:revision>5</cp:revision>
  <dcterms:created xsi:type="dcterms:W3CDTF">2019-02-19T22:30:00Z</dcterms:created>
  <dcterms:modified xsi:type="dcterms:W3CDTF">2019-02-20T18:39:00Z</dcterms:modified>
</cp:coreProperties>
</file>